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49" w:rsidRDefault="00B56049" w:rsidP="00B56049">
      <w:pPr>
        <w:pStyle w:val="1"/>
        <w:ind w:firstLineChars="0" w:firstLine="0"/>
      </w:pPr>
      <w:bookmarkStart w:id="0" w:name="_GoBack"/>
      <w:r>
        <w:rPr>
          <w:rFonts w:ascii="黑体" w:eastAsia="黑体" w:hAnsi="黑体" w:cs="黑体" w:hint="eastAsia"/>
        </w:rPr>
        <w:t>广西大学学士学位授予工作细则（2025年修订）</w:t>
      </w:r>
    </w:p>
    <w:p w:rsidR="00B56049" w:rsidRDefault="00B56049" w:rsidP="00B56049">
      <w:pPr>
        <w:pStyle w:val="1"/>
        <w:widowControl w:val="0"/>
        <w:spacing w:before="0" w:line="700" w:lineRule="exact"/>
        <w:ind w:firstLineChars="0" w:firstLine="0"/>
        <w:rPr>
          <w:rFonts w:ascii="仿宋" w:eastAsia="仿宋" w:hAnsi="仿宋" w:cs="仿宋"/>
          <w:b w:val="0"/>
          <w:bCs w:val="0"/>
          <w:sz w:val="30"/>
          <w:szCs w:val="30"/>
        </w:rPr>
      </w:pPr>
      <w:bookmarkStart w:id="1" w:name="_Toc21083"/>
      <w:bookmarkEnd w:id="0"/>
      <w:r>
        <w:rPr>
          <w:rFonts w:ascii="仿宋_GB2312" w:eastAsia="仿宋_GB2312" w:hAnsi="宋体" w:hint="eastAsia"/>
          <w:b w:val="0"/>
          <w:bCs w:val="0"/>
          <w:sz w:val="30"/>
          <w:szCs w:val="30"/>
        </w:rPr>
        <w:t>西</w:t>
      </w:r>
      <w:r>
        <w:rPr>
          <w:rFonts w:ascii="仿宋" w:eastAsia="仿宋" w:hAnsi="仿宋" w:cs="仿宋"/>
          <w:b w:val="0"/>
          <w:bCs w:val="0"/>
          <w:sz w:val="30"/>
          <w:szCs w:val="30"/>
        </w:rPr>
        <w:t>大学位〔</w:t>
      </w:r>
      <w:r>
        <w:rPr>
          <w:rFonts w:ascii="仿宋" w:eastAsia="仿宋" w:hAnsi="仿宋" w:cs="仿宋" w:hint="eastAsia"/>
          <w:b w:val="0"/>
          <w:bCs w:val="0"/>
          <w:sz w:val="30"/>
          <w:szCs w:val="30"/>
        </w:rPr>
        <w:t>2</w:t>
      </w:r>
      <w:r>
        <w:rPr>
          <w:rFonts w:ascii="仿宋" w:eastAsia="仿宋" w:hAnsi="仿宋" w:cs="宋体" w:hint="eastAsia"/>
          <w:b w:val="0"/>
          <w:bCs w:val="0"/>
          <w:sz w:val="30"/>
          <w:szCs w:val="30"/>
        </w:rPr>
        <w:t>0</w:t>
      </w:r>
      <w:r>
        <w:rPr>
          <w:rFonts w:ascii="仿宋" w:eastAsia="仿宋" w:hAnsi="仿宋" w:cs="仿宋" w:hint="eastAsia"/>
          <w:b w:val="0"/>
          <w:bCs w:val="0"/>
          <w:sz w:val="30"/>
          <w:szCs w:val="30"/>
        </w:rPr>
        <w:t>25〕4号</w:t>
      </w:r>
      <w:bookmarkEnd w:id="1"/>
    </w:p>
    <w:p w:rsidR="00B56049" w:rsidRDefault="00B56049" w:rsidP="00B56049">
      <w:pPr>
        <w:pStyle w:val="a5"/>
        <w:spacing w:beforeAutospacing="0" w:afterAutospacing="0" w:line="336" w:lineRule="auto"/>
        <w:ind w:firstLineChars="200" w:firstLine="640"/>
        <w:jc w:val="both"/>
        <w:rPr>
          <w:rFonts w:ascii="黑体" w:eastAsia="黑体" w:hAnsi="宋体" w:cs="黑体"/>
          <w:color w:val="000000"/>
          <w:sz w:val="32"/>
          <w:szCs w:val="32"/>
        </w:rPr>
      </w:pPr>
    </w:p>
    <w:p w:rsidR="00B56049" w:rsidRDefault="00B56049" w:rsidP="00B56049">
      <w:pPr>
        <w:pStyle w:val="a5"/>
        <w:spacing w:beforeAutospacing="0" w:afterAutospacing="0" w:line="336" w:lineRule="auto"/>
        <w:ind w:firstLineChars="200" w:firstLine="560"/>
        <w:jc w:val="center"/>
        <w:rPr>
          <w:rFonts w:asciiTheme="minorEastAsia" w:hAnsiTheme="minorEastAsia" w:cstheme="minorEastAsia"/>
          <w:b/>
          <w:sz w:val="28"/>
          <w:szCs w:val="28"/>
        </w:rPr>
      </w:pPr>
      <w:r>
        <w:rPr>
          <w:rFonts w:ascii="黑体" w:eastAsia="黑体" w:hAnsi="宋体" w:cs="黑体"/>
          <w:color w:val="000000"/>
          <w:sz w:val="28"/>
          <w:szCs w:val="28"/>
        </w:rPr>
        <w:t>第一章</w:t>
      </w:r>
      <w:r>
        <w:rPr>
          <w:rFonts w:ascii="仿宋" w:eastAsia="仿宋" w:hAnsi="仿宋" w:cs="仿宋"/>
          <w:color w:val="000000"/>
          <w:sz w:val="28"/>
          <w:szCs w:val="28"/>
        </w:rPr>
        <w:t xml:space="preserve">　</w:t>
      </w:r>
      <w:r>
        <w:rPr>
          <w:rFonts w:ascii="黑体" w:eastAsia="黑体" w:hAnsi="宋体" w:cs="黑体" w:hint="eastAsia"/>
          <w:color w:val="000000"/>
          <w:sz w:val="28"/>
          <w:szCs w:val="28"/>
        </w:rPr>
        <w:t>总则</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第一条</w:t>
      </w:r>
      <w:r>
        <w:rPr>
          <w:rFonts w:asciiTheme="minorEastAsia" w:hAnsiTheme="minorEastAsia" w:cstheme="minorEastAsia" w:hint="eastAsia"/>
          <w:bCs/>
          <w:sz w:val="24"/>
          <w:szCs w:val="24"/>
        </w:rPr>
        <w:t xml:space="preserve">　根据《中华人民共和国学位法》《普通高等学校学生管理规定》，以及普通高等学校授予来华留学生学士学位的相关办法，结合我校实际，制定本细则。</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第二条</w:t>
      </w:r>
      <w:r>
        <w:rPr>
          <w:rFonts w:asciiTheme="minorEastAsia" w:hAnsiTheme="minorEastAsia" w:cstheme="minorEastAsia" w:hint="eastAsia"/>
          <w:bCs/>
          <w:sz w:val="24"/>
          <w:szCs w:val="24"/>
        </w:rPr>
        <w:t xml:space="preserve">　本办法适用于向符合条件的学位申请人授予学士学位，或依法撤销学位获得者的学士学位。</w:t>
      </w:r>
    </w:p>
    <w:p w:rsidR="00B56049" w:rsidRDefault="00B56049" w:rsidP="00B56049">
      <w:pPr>
        <w:widowControl w:val="0"/>
        <w:spacing w:line="336" w:lineRule="auto"/>
        <w:ind w:firstLine="480"/>
        <w:jc w:val="both"/>
        <w:rPr>
          <w:rFonts w:asciiTheme="minorEastAsia" w:hAnsiTheme="minorEastAsia" w:cstheme="minorEastAsia"/>
          <w:bCs/>
          <w:sz w:val="24"/>
          <w:szCs w:val="24"/>
        </w:rPr>
      </w:pPr>
    </w:p>
    <w:p w:rsidR="00B56049" w:rsidRDefault="00B56049" w:rsidP="00B56049">
      <w:pPr>
        <w:widowControl w:val="0"/>
        <w:spacing w:line="336" w:lineRule="auto"/>
        <w:ind w:firstLine="560"/>
        <w:jc w:val="center"/>
        <w:rPr>
          <w:rFonts w:ascii="黑体" w:eastAsia="黑体" w:hAnsi="宋体" w:cs="黑体"/>
          <w:color w:val="000000"/>
          <w:kern w:val="0"/>
          <w:sz w:val="28"/>
          <w:szCs w:val="28"/>
        </w:rPr>
      </w:pPr>
      <w:r>
        <w:rPr>
          <w:rFonts w:ascii="黑体" w:eastAsia="黑体" w:hAnsi="宋体" w:cs="黑体" w:hint="eastAsia"/>
          <w:color w:val="000000"/>
          <w:kern w:val="0"/>
          <w:sz w:val="28"/>
          <w:szCs w:val="28"/>
        </w:rPr>
        <w:t>第二章　学位授予条件</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第三条</w:t>
      </w:r>
      <w:r>
        <w:rPr>
          <w:rFonts w:asciiTheme="minorEastAsia" w:hAnsiTheme="minorEastAsia" w:cstheme="minorEastAsia" w:hint="eastAsia"/>
          <w:bCs/>
          <w:sz w:val="24"/>
          <w:szCs w:val="24"/>
        </w:rPr>
        <w:t xml:space="preserve">　学士学位授予条件</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（一）普通高等教育及成人高等教育本科生</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我校高等教育（</w:t>
      </w:r>
      <w:proofErr w:type="gramStart"/>
      <w:r>
        <w:rPr>
          <w:rFonts w:asciiTheme="minorEastAsia" w:hAnsiTheme="minorEastAsia" w:cstheme="minorEastAsia" w:hint="eastAsia"/>
          <w:bCs/>
          <w:sz w:val="24"/>
          <w:szCs w:val="24"/>
        </w:rPr>
        <w:t>含普通</w:t>
      </w:r>
      <w:proofErr w:type="gramEnd"/>
      <w:r>
        <w:rPr>
          <w:rFonts w:asciiTheme="minorEastAsia" w:hAnsiTheme="minorEastAsia" w:cstheme="minorEastAsia" w:hint="eastAsia"/>
          <w:bCs/>
          <w:sz w:val="24"/>
          <w:szCs w:val="24"/>
        </w:rPr>
        <w:t>高等教育及成人高等教育）本科毕业生，同时具备下列条件者，可授予学士学位：</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1.拥护中国共产党的领导，拥护社会主义制度，遵守宪法和法律，遵守学术道德和学术规范；</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2.完成教学计划的各项要求，经审核准予毕业，其课程的加权平均成绩在70.00分及以上；</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3.通过毕业论文或者毕业设计</w:t>
      </w:r>
      <w:proofErr w:type="gramStart"/>
      <w:r>
        <w:rPr>
          <w:rFonts w:asciiTheme="minorEastAsia" w:hAnsiTheme="minorEastAsia" w:cstheme="minorEastAsia" w:hint="eastAsia"/>
          <w:bCs/>
          <w:sz w:val="24"/>
          <w:szCs w:val="24"/>
        </w:rPr>
        <w:t>等毕业</w:t>
      </w:r>
      <w:proofErr w:type="gramEnd"/>
      <w:r>
        <w:rPr>
          <w:rFonts w:asciiTheme="minorEastAsia" w:hAnsiTheme="minorEastAsia" w:cstheme="minorEastAsia" w:hint="eastAsia"/>
          <w:bCs/>
          <w:sz w:val="24"/>
          <w:szCs w:val="24"/>
        </w:rPr>
        <w:t>环节审查，表明确已在本学科或者专业领域较好地掌握基础理论、专门知识和基本技能，具有从事学术研究或者承担专业实践工作的初步能力；</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4.在籍期间所受警告、严重警告、记过、留校察看等纪律处分，到期按学校规定程序予以解除者。</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（二）来华留学本科生</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我校的来华留学本科毕业生，同时具备下列条件者，可授予学士学位：</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1.在政治思想上对我国友好，且在学期间遵守我国的法律、法规及学校纪律，品行端正，遵守学术道德和学术规范；</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lastRenderedPageBreak/>
        <w:t>2.完成教学计划的各项要求，取得规定的毕业学分，经审查准予毕业，且其课程的加权平均成绩在70.00分及以上；</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3.通过毕业论文或者毕业设计</w:t>
      </w:r>
      <w:proofErr w:type="gramStart"/>
      <w:r>
        <w:rPr>
          <w:rFonts w:asciiTheme="minorEastAsia" w:hAnsiTheme="minorEastAsia" w:cstheme="minorEastAsia" w:hint="eastAsia"/>
          <w:bCs/>
          <w:sz w:val="24"/>
          <w:szCs w:val="24"/>
        </w:rPr>
        <w:t>等毕业</w:t>
      </w:r>
      <w:proofErr w:type="gramEnd"/>
      <w:r>
        <w:rPr>
          <w:rFonts w:asciiTheme="minorEastAsia" w:hAnsiTheme="minorEastAsia" w:cstheme="minorEastAsia" w:hint="eastAsia"/>
          <w:bCs/>
          <w:sz w:val="24"/>
          <w:szCs w:val="24"/>
        </w:rPr>
        <w:t>环节审查，表明确已在本学科或者专业领域较好地掌握基础理论、专门知识和基本技能，具有从事学术研究或者承担专业实践工作的初步能力；</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4.在籍期间所受警告、严重警告、记过、留校察看等纪律处分，到期按学校规定程序予以解除者。</w:t>
      </w:r>
    </w:p>
    <w:p w:rsidR="00B56049" w:rsidRDefault="00B56049" w:rsidP="00B56049">
      <w:pPr>
        <w:widowControl w:val="0"/>
        <w:spacing w:line="336" w:lineRule="auto"/>
        <w:ind w:firstLine="480"/>
        <w:jc w:val="both"/>
        <w:rPr>
          <w:rFonts w:asciiTheme="minorEastAsia" w:hAnsiTheme="minorEastAsia" w:cstheme="minorEastAsia"/>
          <w:bCs/>
          <w:sz w:val="24"/>
          <w:szCs w:val="24"/>
        </w:rPr>
      </w:pPr>
    </w:p>
    <w:p w:rsidR="00B56049" w:rsidRDefault="00B56049" w:rsidP="00B56049">
      <w:pPr>
        <w:widowControl w:val="0"/>
        <w:spacing w:line="336" w:lineRule="auto"/>
        <w:ind w:firstLine="560"/>
        <w:jc w:val="center"/>
        <w:rPr>
          <w:rFonts w:asciiTheme="minorEastAsia" w:hAnsiTheme="minorEastAsia" w:cstheme="minorEastAsia"/>
          <w:bCs/>
          <w:sz w:val="24"/>
          <w:szCs w:val="24"/>
        </w:rPr>
      </w:pPr>
      <w:r>
        <w:rPr>
          <w:rFonts w:ascii="黑体" w:eastAsia="黑体" w:hAnsi="宋体" w:cs="黑体" w:hint="eastAsia"/>
          <w:color w:val="000000"/>
          <w:kern w:val="0"/>
          <w:sz w:val="28"/>
          <w:szCs w:val="28"/>
        </w:rPr>
        <w:t>第三章　学位授予程序</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第四条</w:t>
      </w:r>
      <w:r>
        <w:rPr>
          <w:rFonts w:asciiTheme="minorEastAsia" w:hAnsiTheme="minorEastAsia" w:cstheme="minorEastAsia" w:hint="eastAsia"/>
          <w:bCs/>
          <w:sz w:val="24"/>
          <w:szCs w:val="24"/>
        </w:rPr>
        <w:t xml:space="preserve">　符合本法规定的本科毕业生，可以按照学校的要求提交申请材料，申请相应学位。学校在收到学位申请材料之日起六十日内审查决定是否受理申请，并通知申请人。</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（一）普通高等教育本科毕业生学士学位</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应届毕业生在规定时间按所在学院的要求提交申请材料，申请相应学位。由各学院学位</w:t>
      </w:r>
      <w:proofErr w:type="gramStart"/>
      <w:r>
        <w:rPr>
          <w:rFonts w:asciiTheme="minorEastAsia" w:hAnsiTheme="minorEastAsia" w:cstheme="minorEastAsia" w:hint="eastAsia"/>
          <w:bCs/>
          <w:sz w:val="24"/>
          <w:szCs w:val="24"/>
        </w:rPr>
        <w:t>评定分</w:t>
      </w:r>
      <w:proofErr w:type="gramEnd"/>
      <w:r>
        <w:rPr>
          <w:rFonts w:asciiTheme="minorEastAsia" w:hAnsiTheme="minorEastAsia" w:cstheme="minorEastAsia" w:hint="eastAsia"/>
          <w:bCs/>
          <w:sz w:val="24"/>
          <w:szCs w:val="24"/>
        </w:rPr>
        <w:t>委员会对申请人提交的材料进行审核，提出建议授予、不授予学位的名单及其原因，按规定时间提交教务处，经教务处组织相关部门复核后，报学校学位评定委员会审议。对审议通过者颁发学士学位证书，并向自治区学位委员会报送学位授予信息。</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（二）成人高等教育本科毕业生学士学位</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1.成人高等教育（含高等教育自学考试）本科毕业生，应在取得本科毕业证之日起两年内提出学位申请,逾期提出申请的，一律不再受理。</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2.成人高等教育（含高等教育自学考试）本科毕业生在规定时间按要求提交申请材料，申请相应学位。继续教育学院受理申请并对符合性进行初审后，汇总符合学士学位申请条件名单及其学位申请材料，按专业归属报各相关学院，学院组织专业教师对学位申请材料包括毕业论文或者毕业设计严格审核把关后，再报学院学位</w:t>
      </w:r>
      <w:proofErr w:type="gramStart"/>
      <w:r>
        <w:rPr>
          <w:rFonts w:asciiTheme="minorEastAsia" w:hAnsiTheme="minorEastAsia" w:cstheme="minorEastAsia" w:hint="eastAsia"/>
          <w:bCs/>
          <w:sz w:val="24"/>
          <w:szCs w:val="24"/>
        </w:rPr>
        <w:t>评定分</w:t>
      </w:r>
      <w:proofErr w:type="gramEnd"/>
      <w:r>
        <w:rPr>
          <w:rFonts w:asciiTheme="minorEastAsia" w:hAnsiTheme="minorEastAsia" w:cstheme="minorEastAsia" w:hint="eastAsia"/>
          <w:bCs/>
          <w:sz w:val="24"/>
          <w:szCs w:val="24"/>
        </w:rPr>
        <w:t>委员会进行审核，提出建议授予、不授予学位的名单及其原因，</w:t>
      </w:r>
      <w:proofErr w:type="gramStart"/>
      <w:r>
        <w:rPr>
          <w:rFonts w:asciiTheme="minorEastAsia" w:hAnsiTheme="minorEastAsia" w:cstheme="minorEastAsia" w:hint="eastAsia"/>
          <w:bCs/>
          <w:sz w:val="24"/>
          <w:szCs w:val="24"/>
        </w:rPr>
        <w:t>交继续</w:t>
      </w:r>
      <w:proofErr w:type="gramEnd"/>
      <w:r>
        <w:rPr>
          <w:rFonts w:asciiTheme="minorEastAsia" w:hAnsiTheme="minorEastAsia" w:cstheme="minorEastAsia" w:hint="eastAsia"/>
          <w:bCs/>
          <w:sz w:val="24"/>
          <w:szCs w:val="24"/>
        </w:rPr>
        <w:t>教育学院汇总，并按规定时间提交教务处，教务处报学校学位评定委员会审议。对审议通过者颁发学士学位证书，并向自治区学位委员会报送学位授予信息。</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（三）来华留学本科毕业生学士学位</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应届毕业生在规定时间按所在学院的要求提交申请材料，申请相应学位。由</w:t>
      </w:r>
      <w:r>
        <w:rPr>
          <w:rFonts w:asciiTheme="minorEastAsia" w:hAnsiTheme="minorEastAsia" w:cstheme="minorEastAsia" w:hint="eastAsia"/>
          <w:bCs/>
          <w:sz w:val="24"/>
          <w:szCs w:val="24"/>
        </w:rPr>
        <w:lastRenderedPageBreak/>
        <w:t>各学院学位</w:t>
      </w:r>
      <w:proofErr w:type="gramStart"/>
      <w:r>
        <w:rPr>
          <w:rFonts w:asciiTheme="minorEastAsia" w:hAnsiTheme="minorEastAsia" w:cstheme="minorEastAsia" w:hint="eastAsia"/>
          <w:bCs/>
          <w:sz w:val="24"/>
          <w:szCs w:val="24"/>
        </w:rPr>
        <w:t>评定分</w:t>
      </w:r>
      <w:proofErr w:type="gramEnd"/>
      <w:r>
        <w:rPr>
          <w:rFonts w:asciiTheme="minorEastAsia" w:hAnsiTheme="minorEastAsia" w:cstheme="minorEastAsia" w:hint="eastAsia"/>
          <w:bCs/>
          <w:sz w:val="24"/>
          <w:szCs w:val="24"/>
        </w:rPr>
        <w:t>委员会对申请人提交的材料进行审核，提出建议授予、不授予学位的名单及其原因，按规定时间提交学校留学生管理部门，学校留学生管理部门汇总审核名单后提交教务处，教务处报学校学位评定委员会审议。对审议通过者颁发学士学位证书，并向自治区学位委员会报送学位授予信息。</w:t>
      </w:r>
    </w:p>
    <w:p w:rsidR="00B56049" w:rsidRDefault="00B56049" w:rsidP="00B56049">
      <w:pPr>
        <w:widowControl w:val="0"/>
        <w:spacing w:line="336" w:lineRule="auto"/>
        <w:ind w:firstLine="480"/>
        <w:jc w:val="both"/>
        <w:rPr>
          <w:rFonts w:asciiTheme="minorEastAsia" w:hAnsiTheme="minorEastAsia" w:cstheme="minorEastAsia"/>
          <w:bCs/>
          <w:sz w:val="24"/>
          <w:szCs w:val="24"/>
        </w:rPr>
      </w:pPr>
    </w:p>
    <w:p w:rsidR="00B56049" w:rsidRDefault="00B56049" w:rsidP="00B56049">
      <w:pPr>
        <w:widowControl w:val="0"/>
        <w:spacing w:line="336" w:lineRule="auto"/>
        <w:ind w:firstLine="560"/>
        <w:jc w:val="center"/>
        <w:rPr>
          <w:rFonts w:asciiTheme="minorEastAsia" w:hAnsiTheme="minorEastAsia" w:cstheme="minorEastAsia"/>
          <w:bCs/>
          <w:sz w:val="24"/>
          <w:szCs w:val="24"/>
        </w:rPr>
      </w:pPr>
      <w:r>
        <w:rPr>
          <w:rFonts w:ascii="黑体" w:eastAsia="黑体" w:hAnsi="宋体" w:cs="黑体" w:hint="eastAsia"/>
          <w:color w:val="000000"/>
          <w:kern w:val="0"/>
          <w:sz w:val="28"/>
          <w:szCs w:val="28"/>
        </w:rPr>
        <w:t>第四章　学位质量保障</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第五条</w:t>
      </w:r>
      <w:r>
        <w:rPr>
          <w:rFonts w:asciiTheme="minorEastAsia" w:hAnsiTheme="minorEastAsia" w:cstheme="minorEastAsia" w:hint="eastAsia"/>
          <w:bCs/>
          <w:sz w:val="24"/>
          <w:szCs w:val="24"/>
        </w:rPr>
        <w:t xml:space="preserve">　强化学士学位质量标准和过程管理，保障培养质量。学院应不断提高教育教学质量，严把考试和毕业出口关，完善过程性考核与结果性考核有机结合的学业考评制度，抓好学生从入学到毕业各个培养环节；应加强学士学位授予审核，确保学位获得者满足学位授予条件。</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第六条</w:t>
      </w:r>
      <w:r>
        <w:rPr>
          <w:rFonts w:asciiTheme="minorEastAsia" w:hAnsiTheme="minorEastAsia" w:cstheme="minorEastAsia" w:hint="eastAsia"/>
          <w:bCs/>
          <w:sz w:val="24"/>
          <w:szCs w:val="24"/>
        </w:rPr>
        <w:t xml:space="preserve">　完善导师制度，强化指导责任。明确毕业论文或者毕业设计指导教师是学士学位质量保障的第一责任人。指导教师应从选题、资料收集、实验设计、论文撰写到答辩准备的全过程，给予学生专业、细致且负责任的指导。对于指导不力、责任心缺失的导师，给予必要的提醒、约谈乃至调整指导资格的处罚，形成有效的约束机制。</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第七条</w:t>
      </w:r>
      <w:r>
        <w:rPr>
          <w:rFonts w:asciiTheme="minorEastAsia" w:hAnsiTheme="minorEastAsia" w:cstheme="minorEastAsia" w:hint="eastAsia"/>
          <w:bCs/>
          <w:sz w:val="24"/>
          <w:szCs w:val="24"/>
        </w:rPr>
        <w:t xml:space="preserve">　加强质量评估，定期开展学士学位质量的内外部评估，促进学位质量持续改进。学校内部，依托教育教学质量评价管理部门，制定科学的评估指标体系，对教学计划、课程设置、师资力量、教学资源、学生学习成果等多个维度进行定期审查与评估，及时发现并纠正教学中存在的问题，优化教育资源配置，提升教育教学质量；学校外部，依托政府、第三方机构或行业组织等外部力量对学位质量进行客观评价，从宏观视角审视学校的人才培养质量，为学位质量持续改进提供方向和外部动力。</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第八条</w:t>
      </w:r>
      <w:r>
        <w:rPr>
          <w:rFonts w:asciiTheme="minorEastAsia" w:hAnsiTheme="minorEastAsia" w:cstheme="minorEastAsia" w:hint="eastAsia"/>
          <w:bCs/>
          <w:sz w:val="24"/>
          <w:szCs w:val="24"/>
        </w:rPr>
        <w:t xml:space="preserve">　学士学位申请人对专家评阅、答辩、成果认定等过程中相关学术组织或者人员</w:t>
      </w:r>
      <w:proofErr w:type="gramStart"/>
      <w:r>
        <w:rPr>
          <w:rFonts w:asciiTheme="minorEastAsia" w:hAnsiTheme="minorEastAsia" w:cstheme="minorEastAsia" w:hint="eastAsia"/>
          <w:bCs/>
          <w:sz w:val="24"/>
          <w:szCs w:val="24"/>
        </w:rPr>
        <w:t>作出</w:t>
      </w:r>
      <w:proofErr w:type="gramEnd"/>
      <w:r>
        <w:rPr>
          <w:rFonts w:asciiTheme="minorEastAsia" w:hAnsiTheme="minorEastAsia" w:cstheme="minorEastAsia" w:hint="eastAsia"/>
          <w:bCs/>
          <w:sz w:val="24"/>
          <w:szCs w:val="24"/>
        </w:rPr>
        <w:t>的学术评价结论有异议的，可以向学院学位</w:t>
      </w:r>
      <w:proofErr w:type="gramStart"/>
      <w:r>
        <w:rPr>
          <w:rFonts w:asciiTheme="minorEastAsia" w:hAnsiTheme="minorEastAsia" w:cstheme="minorEastAsia" w:hint="eastAsia"/>
          <w:bCs/>
          <w:sz w:val="24"/>
          <w:szCs w:val="24"/>
        </w:rPr>
        <w:t>评定分</w:t>
      </w:r>
      <w:proofErr w:type="gramEnd"/>
      <w:r>
        <w:rPr>
          <w:rFonts w:asciiTheme="minorEastAsia" w:hAnsiTheme="minorEastAsia" w:cstheme="minorEastAsia" w:hint="eastAsia"/>
          <w:bCs/>
          <w:sz w:val="24"/>
          <w:szCs w:val="24"/>
        </w:rPr>
        <w:t>委员会申请学术复核。学院学位</w:t>
      </w:r>
      <w:proofErr w:type="gramStart"/>
      <w:r>
        <w:rPr>
          <w:rFonts w:asciiTheme="minorEastAsia" w:hAnsiTheme="minorEastAsia" w:cstheme="minorEastAsia" w:hint="eastAsia"/>
          <w:bCs/>
          <w:sz w:val="24"/>
          <w:szCs w:val="24"/>
        </w:rPr>
        <w:t>评定分</w:t>
      </w:r>
      <w:proofErr w:type="gramEnd"/>
      <w:r>
        <w:rPr>
          <w:rFonts w:asciiTheme="minorEastAsia" w:hAnsiTheme="minorEastAsia" w:cstheme="minorEastAsia" w:hint="eastAsia"/>
          <w:bCs/>
          <w:sz w:val="24"/>
          <w:szCs w:val="24"/>
        </w:rPr>
        <w:t>委员会应当自受理学术复核申请之日起三十日内重新组织专家进行复核并</w:t>
      </w:r>
      <w:proofErr w:type="gramStart"/>
      <w:r>
        <w:rPr>
          <w:rFonts w:asciiTheme="minorEastAsia" w:hAnsiTheme="minorEastAsia" w:cstheme="minorEastAsia" w:hint="eastAsia"/>
          <w:bCs/>
          <w:sz w:val="24"/>
          <w:szCs w:val="24"/>
        </w:rPr>
        <w:t>作出</w:t>
      </w:r>
      <w:proofErr w:type="gramEnd"/>
      <w:r>
        <w:rPr>
          <w:rFonts w:asciiTheme="minorEastAsia" w:hAnsiTheme="minorEastAsia" w:cstheme="minorEastAsia" w:hint="eastAsia"/>
          <w:bCs/>
          <w:sz w:val="24"/>
          <w:szCs w:val="24"/>
        </w:rPr>
        <w:t>复核决定，复核决定为最终决定。学术复核的办法由学校另行制定。</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第九条</w:t>
      </w:r>
      <w:r>
        <w:rPr>
          <w:rFonts w:asciiTheme="minorEastAsia" w:hAnsiTheme="minorEastAsia" w:cstheme="minorEastAsia" w:hint="eastAsia"/>
          <w:bCs/>
          <w:sz w:val="24"/>
          <w:szCs w:val="24"/>
        </w:rPr>
        <w:t xml:space="preserve">　学士学位申请人、学位获得者在攻读学位过程中有下列情形之一的，经学校学位评定委员会决议，学校不授予学位或者撤销学位：</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学位论文或者实践成果被认定为存在代写、剽窃、伪造等学术不端行为；</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盗用、冒用他人身份，顶替他人取得的入学资格，或者以其他非法手段取得</w:t>
      </w:r>
      <w:r>
        <w:rPr>
          <w:rFonts w:asciiTheme="minorEastAsia" w:hAnsiTheme="minorEastAsia" w:cstheme="minorEastAsia" w:hint="eastAsia"/>
          <w:bCs/>
          <w:sz w:val="24"/>
          <w:szCs w:val="24"/>
        </w:rPr>
        <w:lastRenderedPageBreak/>
        <w:t>入学资格、毕业证书；</w:t>
      </w:r>
    </w:p>
    <w:p w:rsidR="00B56049" w:rsidRDefault="00B56049" w:rsidP="00B56049">
      <w:pPr>
        <w:widowControl w:val="0"/>
        <w:spacing w:line="336" w:lineRule="auto"/>
        <w:ind w:firstLine="480"/>
        <w:jc w:val="both"/>
        <w:rPr>
          <w:rFonts w:asciiTheme="minorEastAsia" w:hAnsiTheme="minorEastAsia" w:cstheme="minorEastAsia"/>
          <w:bCs/>
          <w:sz w:val="24"/>
          <w:szCs w:val="24"/>
        </w:rPr>
      </w:pPr>
      <w:r>
        <w:rPr>
          <w:rFonts w:asciiTheme="minorEastAsia" w:hAnsiTheme="minorEastAsia" w:cstheme="minorEastAsia" w:hint="eastAsia"/>
          <w:bCs/>
          <w:sz w:val="24"/>
          <w:szCs w:val="24"/>
        </w:rPr>
        <w:t>攻读期间存在依法不应当授予学位的其他严重违法行为。</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第十条</w:t>
      </w:r>
      <w:r>
        <w:rPr>
          <w:rFonts w:asciiTheme="minorEastAsia" w:hAnsiTheme="minorEastAsia" w:cstheme="minorEastAsia" w:hint="eastAsia"/>
          <w:bCs/>
          <w:sz w:val="24"/>
          <w:szCs w:val="24"/>
        </w:rPr>
        <w:t xml:space="preserve">　学校学位评定委员会拟作出不授予学位或者撤销学位决定前，应当告知学位申请人或者学位获得者拟作出决定的内容及事实、理由、依据，听取其陈述和申辩。不授予学位、撤销学位的决定应当由申请学位所在学院直接送达当事人本人并签收。当事人拒绝签收的或者无法联系到当事人的，可以参照《中华人民共和国民事诉讼法》的相关规定采取留置送达、邮寄送达、公告送达等方式送达；当事人同意的，也可以采取电子送达。</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第十一条</w:t>
      </w:r>
      <w:r>
        <w:rPr>
          <w:rFonts w:asciiTheme="minorEastAsia" w:hAnsiTheme="minorEastAsia" w:cstheme="minorEastAsia" w:hint="eastAsia"/>
          <w:bCs/>
          <w:sz w:val="24"/>
          <w:szCs w:val="24"/>
        </w:rPr>
        <w:t xml:space="preserve">　学位申请人或者学位获得者对不受理其学位申请、不授予学位或者撤销学位等决议不服的，可以在接到通知后十日内向学校学位评定委员会申请复核，或者请求有关机关依照法律规定处理。学位申请人或者学位获得者申请复核的，学校学位评定委员会应当自受理复核申请之日起三十日内进行复核并</w:t>
      </w:r>
      <w:proofErr w:type="gramStart"/>
      <w:r>
        <w:rPr>
          <w:rFonts w:asciiTheme="minorEastAsia" w:hAnsiTheme="minorEastAsia" w:cstheme="minorEastAsia" w:hint="eastAsia"/>
          <w:bCs/>
          <w:sz w:val="24"/>
          <w:szCs w:val="24"/>
        </w:rPr>
        <w:t>作出</w:t>
      </w:r>
      <w:proofErr w:type="gramEnd"/>
      <w:r>
        <w:rPr>
          <w:rFonts w:asciiTheme="minorEastAsia" w:hAnsiTheme="minorEastAsia" w:cstheme="minorEastAsia" w:hint="eastAsia"/>
          <w:bCs/>
          <w:sz w:val="24"/>
          <w:szCs w:val="24"/>
        </w:rPr>
        <w:t>复核决定。</w:t>
      </w:r>
    </w:p>
    <w:p w:rsidR="00B56049" w:rsidRDefault="00B56049" w:rsidP="00B56049">
      <w:pPr>
        <w:widowControl w:val="0"/>
        <w:spacing w:line="336" w:lineRule="auto"/>
        <w:ind w:firstLine="480"/>
        <w:jc w:val="both"/>
        <w:rPr>
          <w:rFonts w:asciiTheme="minorEastAsia" w:hAnsiTheme="minorEastAsia" w:cstheme="minorEastAsia"/>
          <w:bCs/>
          <w:sz w:val="24"/>
          <w:szCs w:val="24"/>
        </w:rPr>
      </w:pPr>
    </w:p>
    <w:p w:rsidR="00B56049" w:rsidRDefault="00B56049" w:rsidP="00B56049">
      <w:pPr>
        <w:widowControl w:val="0"/>
        <w:spacing w:line="336" w:lineRule="auto"/>
        <w:ind w:firstLine="560"/>
        <w:jc w:val="center"/>
        <w:rPr>
          <w:rFonts w:asciiTheme="minorEastAsia" w:hAnsiTheme="minorEastAsia" w:cstheme="minorEastAsia"/>
          <w:bCs/>
          <w:sz w:val="24"/>
          <w:szCs w:val="24"/>
        </w:rPr>
      </w:pPr>
      <w:r>
        <w:rPr>
          <w:rFonts w:ascii="黑体" w:eastAsia="黑体" w:hAnsi="宋体" w:cs="黑体" w:hint="eastAsia"/>
          <w:color w:val="000000"/>
          <w:kern w:val="0"/>
          <w:sz w:val="28"/>
          <w:szCs w:val="28"/>
        </w:rPr>
        <w:t>第五章　附则</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第十二条</w:t>
      </w:r>
      <w:r>
        <w:rPr>
          <w:rFonts w:asciiTheme="minorEastAsia" w:hAnsiTheme="minorEastAsia" w:cstheme="minorEastAsia" w:hint="eastAsia"/>
          <w:bCs/>
          <w:sz w:val="24"/>
          <w:szCs w:val="24"/>
        </w:rPr>
        <w:t xml:space="preserve">　本细则同时适用于建筑学学士专业学位授予。</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第十三条</w:t>
      </w:r>
      <w:r>
        <w:rPr>
          <w:rFonts w:asciiTheme="minorEastAsia" w:hAnsiTheme="minorEastAsia" w:cstheme="minorEastAsia" w:hint="eastAsia"/>
          <w:bCs/>
          <w:sz w:val="24"/>
          <w:szCs w:val="24"/>
        </w:rPr>
        <w:t xml:space="preserve">　学士学位证书生效日期为学校学位评定委员会做出授予学士学位决定的日期。</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第十四条</w:t>
      </w:r>
      <w:r>
        <w:rPr>
          <w:rFonts w:asciiTheme="minorEastAsia" w:hAnsiTheme="minorEastAsia" w:cstheme="minorEastAsia" w:hint="eastAsia"/>
          <w:bCs/>
          <w:sz w:val="24"/>
          <w:szCs w:val="24"/>
        </w:rPr>
        <w:t xml:space="preserve">　学位证书遗失或者损坏，学校不予补发。经本人申请，学校核实后出具学位授予证明书，与原学位证书具有同等法律效力。</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第十五条</w:t>
      </w:r>
      <w:r>
        <w:rPr>
          <w:rFonts w:asciiTheme="minorEastAsia" w:hAnsiTheme="minorEastAsia" w:cstheme="minorEastAsia" w:hint="eastAsia"/>
          <w:bCs/>
          <w:sz w:val="24"/>
          <w:szCs w:val="24"/>
        </w:rPr>
        <w:t xml:space="preserve">　本细则自发布之日起施行。《广西大学学士学位授予工作细则》（西大学位〔2018〕7号）同时废止。</w:t>
      </w:r>
    </w:p>
    <w:p w:rsidR="00B56049" w:rsidRDefault="00B56049" w:rsidP="00B56049">
      <w:pPr>
        <w:widowControl w:val="0"/>
        <w:spacing w:line="336" w:lineRule="auto"/>
        <w:ind w:firstLine="482"/>
        <w:jc w:val="both"/>
        <w:rPr>
          <w:rFonts w:asciiTheme="minorEastAsia" w:hAnsiTheme="minorEastAsia" w:cstheme="minorEastAsia"/>
          <w:bCs/>
          <w:sz w:val="24"/>
          <w:szCs w:val="24"/>
        </w:rPr>
      </w:pPr>
      <w:r>
        <w:rPr>
          <w:rFonts w:asciiTheme="minorEastAsia" w:hAnsiTheme="minorEastAsia" w:cstheme="minorEastAsia" w:hint="eastAsia"/>
          <w:b/>
          <w:sz w:val="24"/>
          <w:szCs w:val="24"/>
        </w:rPr>
        <w:t>第十六条</w:t>
      </w:r>
      <w:r>
        <w:rPr>
          <w:rFonts w:asciiTheme="minorEastAsia" w:hAnsiTheme="minorEastAsia" w:cstheme="minorEastAsia" w:hint="eastAsia"/>
          <w:bCs/>
          <w:sz w:val="24"/>
          <w:szCs w:val="24"/>
        </w:rPr>
        <w:t xml:space="preserve">　本细则由学校学位评定委员会办公室负责解释。</w:t>
      </w:r>
    </w:p>
    <w:p w:rsidR="00565B49" w:rsidRPr="00B56049" w:rsidRDefault="00565B49" w:rsidP="00B56049">
      <w:pPr>
        <w:ind w:firstLine="420"/>
      </w:pPr>
    </w:p>
    <w:sectPr w:rsidR="00565B49" w:rsidRPr="00B560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156" w:rsidRDefault="00113156" w:rsidP="00B56049">
      <w:pPr>
        <w:ind w:firstLine="420"/>
      </w:pPr>
      <w:r>
        <w:separator/>
      </w:r>
    </w:p>
  </w:endnote>
  <w:endnote w:type="continuationSeparator" w:id="0">
    <w:p w:rsidR="00113156" w:rsidRDefault="00113156" w:rsidP="00B56049">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156" w:rsidRDefault="00113156" w:rsidP="00B56049">
      <w:pPr>
        <w:ind w:firstLine="420"/>
      </w:pPr>
      <w:r>
        <w:separator/>
      </w:r>
    </w:p>
  </w:footnote>
  <w:footnote w:type="continuationSeparator" w:id="0">
    <w:p w:rsidR="00113156" w:rsidRDefault="00113156" w:rsidP="00B56049">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7F6"/>
    <w:rsid w:val="00113156"/>
    <w:rsid w:val="00565B49"/>
    <w:rsid w:val="00B56049"/>
    <w:rsid w:val="00B847F6"/>
    <w:rsid w:val="00D67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049"/>
    <w:pPr>
      <w:ind w:firstLineChars="200" w:firstLine="200"/>
    </w:pPr>
  </w:style>
  <w:style w:type="paragraph" w:styleId="1">
    <w:name w:val="heading 1"/>
    <w:basedOn w:val="a"/>
    <w:next w:val="a"/>
    <w:link w:val="1Char"/>
    <w:uiPriority w:val="9"/>
    <w:qFormat/>
    <w:rsid w:val="00B56049"/>
    <w:pPr>
      <w:spacing w:before="600" w:after="80"/>
      <w:jc w:val="center"/>
      <w:outlineLvl w:val="0"/>
    </w:pPr>
    <w:rPr>
      <w:rFonts w:ascii="Cambria" w:eastAsia="宋体" w:hAnsi="Cambria" w:cs="Times New Roman"/>
      <w:b/>
      <w:bCs/>
      <w:kern w:val="0"/>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56049"/>
    <w:pPr>
      <w:widowControl w:val="0"/>
      <w:pBdr>
        <w:bottom w:val="single" w:sz="6" w:space="1" w:color="auto"/>
      </w:pBdr>
      <w:tabs>
        <w:tab w:val="center" w:pos="4153"/>
        <w:tab w:val="right" w:pos="8306"/>
      </w:tabs>
      <w:snapToGrid w:val="0"/>
      <w:ind w:firstLineChars="0" w:firstLine="0"/>
      <w:jc w:val="center"/>
    </w:pPr>
    <w:rPr>
      <w:sz w:val="18"/>
      <w:szCs w:val="18"/>
    </w:rPr>
  </w:style>
  <w:style w:type="character" w:customStyle="1" w:styleId="Char">
    <w:name w:val="页眉 Char"/>
    <w:basedOn w:val="a0"/>
    <w:link w:val="a3"/>
    <w:uiPriority w:val="99"/>
    <w:rsid w:val="00B56049"/>
    <w:rPr>
      <w:sz w:val="18"/>
      <w:szCs w:val="18"/>
    </w:rPr>
  </w:style>
  <w:style w:type="paragraph" w:styleId="a4">
    <w:name w:val="footer"/>
    <w:basedOn w:val="a"/>
    <w:link w:val="Char0"/>
    <w:uiPriority w:val="99"/>
    <w:unhideWhenUsed/>
    <w:rsid w:val="00B56049"/>
    <w:pPr>
      <w:widowControl w:val="0"/>
      <w:tabs>
        <w:tab w:val="center" w:pos="4153"/>
        <w:tab w:val="right" w:pos="8306"/>
      </w:tabs>
      <w:snapToGrid w:val="0"/>
      <w:ind w:firstLineChars="0" w:firstLine="0"/>
    </w:pPr>
    <w:rPr>
      <w:sz w:val="18"/>
      <w:szCs w:val="18"/>
    </w:rPr>
  </w:style>
  <w:style w:type="character" w:customStyle="1" w:styleId="Char0">
    <w:name w:val="页脚 Char"/>
    <w:basedOn w:val="a0"/>
    <w:link w:val="a4"/>
    <w:uiPriority w:val="99"/>
    <w:rsid w:val="00B56049"/>
    <w:rPr>
      <w:sz w:val="18"/>
      <w:szCs w:val="18"/>
    </w:rPr>
  </w:style>
  <w:style w:type="character" w:customStyle="1" w:styleId="1Char">
    <w:name w:val="标题 1 Char"/>
    <w:basedOn w:val="a0"/>
    <w:link w:val="1"/>
    <w:uiPriority w:val="9"/>
    <w:qFormat/>
    <w:rsid w:val="00B56049"/>
    <w:rPr>
      <w:rFonts w:ascii="Cambria" w:eastAsia="宋体" w:hAnsi="Cambria" w:cs="Times New Roman"/>
      <w:b/>
      <w:bCs/>
      <w:kern w:val="0"/>
      <w:sz w:val="36"/>
      <w:szCs w:val="24"/>
    </w:rPr>
  </w:style>
  <w:style w:type="paragraph" w:styleId="a5">
    <w:name w:val="Normal (Web)"/>
    <w:basedOn w:val="a"/>
    <w:uiPriority w:val="99"/>
    <w:qFormat/>
    <w:rsid w:val="00B56049"/>
    <w:pPr>
      <w:widowControl w:val="0"/>
      <w:spacing w:beforeAutospacing="1" w:afterAutospacing="1"/>
      <w:ind w:firstLineChars="0" w:firstLine="0"/>
    </w:pPr>
    <w:rPr>
      <w:rFonts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049"/>
    <w:pPr>
      <w:ind w:firstLineChars="200" w:firstLine="200"/>
    </w:pPr>
  </w:style>
  <w:style w:type="paragraph" w:styleId="1">
    <w:name w:val="heading 1"/>
    <w:basedOn w:val="a"/>
    <w:next w:val="a"/>
    <w:link w:val="1Char"/>
    <w:uiPriority w:val="9"/>
    <w:qFormat/>
    <w:rsid w:val="00B56049"/>
    <w:pPr>
      <w:spacing w:before="600" w:after="80"/>
      <w:jc w:val="center"/>
      <w:outlineLvl w:val="0"/>
    </w:pPr>
    <w:rPr>
      <w:rFonts w:ascii="Cambria" w:eastAsia="宋体" w:hAnsi="Cambria" w:cs="Times New Roman"/>
      <w:b/>
      <w:bCs/>
      <w:kern w:val="0"/>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56049"/>
    <w:pPr>
      <w:widowControl w:val="0"/>
      <w:pBdr>
        <w:bottom w:val="single" w:sz="6" w:space="1" w:color="auto"/>
      </w:pBdr>
      <w:tabs>
        <w:tab w:val="center" w:pos="4153"/>
        <w:tab w:val="right" w:pos="8306"/>
      </w:tabs>
      <w:snapToGrid w:val="0"/>
      <w:ind w:firstLineChars="0" w:firstLine="0"/>
      <w:jc w:val="center"/>
    </w:pPr>
    <w:rPr>
      <w:sz w:val="18"/>
      <w:szCs w:val="18"/>
    </w:rPr>
  </w:style>
  <w:style w:type="character" w:customStyle="1" w:styleId="Char">
    <w:name w:val="页眉 Char"/>
    <w:basedOn w:val="a0"/>
    <w:link w:val="a3"/>
    <w:uiPriority w:val="99"/>
    <w:rsid w:val="00B56049"/>
    <w:rPr>
      <w:sz w:val="18"/>
      <w:szCs w:val="18"/>
    </w:rPr>
  </w:style>
  <w:style w:type="paragraph" w:styleId="a4">
    <w:name w:val="footer"/>
    <w:basedOn w:val="a"/>
    <w:link w:val="Char0"/>
    <w:uiPriority w:val="99"/>
    <w:unhideWhenUsed/>
    <w:rsid w:val="00B56049"/>
    <w:pPr>
      <w:widowControl w:val="0"/>
      <w:tabs>
        <w:tab w:val="center" w:pos="4153"/>
        <w:tab w:val="right" w:pos="8306"/>
      </w:tabs>
      <w:snapToGrid w:val="0"/>
      <w:ind w:firstLineChars="0" w:firstLine="0"/>
    </w:pPr>
    <w:rPr>
      <w:sz w:val="18"/>
      <w:szCs w:val="18"/>
    </w:rPr>
  </w:style>
  <w:style w:type="character" w:customStyle="1" w:styleId="Char0">
    <w:name w:val="页脚 Char"/>
    <w:basedOn w:val="a0"/>
    <w:link w:val="a4"/>
    <w:uiPriority w:val="99"/>
    <w:rsid w:val="00B56049"/>
    <w:rPr>
      <w:sz w:val="18"/>
      <w:szCs w:val="18"/>
    </w:rPr>
  </w:style>
  <w:style w:type="character" w:customStyle="1" w:styleId="1Char">
    <w:name w:val="标题 1 Char"/>
    <w:basedOn w:val="a0"/>
    <w:link w:val="1"/>
    <w:uiPriority w:val="9"/>
    <w:qFormat/>
    <w:rsid w:val="00B56049"/>
    <w:rPr>
      <w:rFonts w:ascii="Cambria" w:eastAsia="宋体" w:hAnsi="Cambria" w:cs="Times New Roman"/>
      <w:b/>
      <w:bCs/>
      <w:kern w:val="0"/>
      <w:sz w:val="36"/>
      <w:szCs w:val="24"/>
    </w:rPr>
  </w:style>
  <w:style w:type="paragraph" w:styleId="a5">
    <w:name w:val="Normal (Web)"/>
    <w:basedOn w:val="a"/>
    <w:uiPriority w:val="99"/>
    <w:qFormat/>
    <w:rsid w:val="00B56049"/>
    <w:pPr>
      <w:widowControl w:val="0"/>
      <w:spacing w:beforeAutospacing="1" w:afterAutospacing="1"/>
      <w:ind w:firstLineChars="0" w:firstLine="0"/>
    </w:pPr>
    <w:rPr>
      <w:rFonts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sunxiang</dc:creator>
  <cp:keywords/>
  <dc:description/>
  <cp:lastModifiedBy>sunxiang</cp:lastModifiedBy>
  <cp:revision>2</cp:revision>
  <dcterms:created xsi:type="dcterms:W3CDTF">2025-08-14T01:41:00Z</dcterms:created>
  <dcterms:modified xsi:type="dcterms:W3CDTF">2025-08-14T01:41:00Z</dcterms:modified>
</cp:coreProperties>
</file>